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45 vom 4. September 2025</w:t>
      </w:r>
    </w:p>
    <w:p>
      <w:r>
        <w:t>GR Gerichte, 2025-09-04, DE</w:t>
      </w:r>
    </w:p>
    <w:p>
      <w:r>
        <w:rPr>
          <w:b/>
        </w:rPr>
        <w:t xml:space="preserve">Quelle: </w:t>
      </w:r>
      <w:r>
        <w:t>https://mcp.opencaselaw.ch/entscheid/gr_gerichte_VR2 2025 45</w:t>
      </w:r>
    </w:p>
    <w:p>
      <w:r>
        <w:t>FR: GR_GERICHTE VR2 2025 45 du 4 septembre 2025</w:t>
      </w:r>
    </w:p>
    <w:p>
      <w:r>
        <w:t>IT: GR_GERICHTE VR2 2025 45 del 4 settembre 2025</w:t>
      </w:r>
    </w:p>
    <w:p>
      <w:pPr>
        <w:pStyle w:val="Heading2"/>
      </w:pPr>
      <w:r>
        <w:t>Regeste</w:t>
      </w:r>
    </w:p>
    <w:p>
      <w:r>
        <w:t>Einkommenssteuer Kantons und Gemeinde (2023) | Einkommenssteuer</w:t>
      </w:r>
    </w:p>
    <w:p>
      <w:pPr>
        <w:pStyle w:val="Heading2"/>
      </w:pPr>
      <w:r>
        <w:t>Erwägungen</w:t>
      </w:r>
    </w:p>
    <w:p>
      <w:r>
        <w:rPr>
          <w:b/>
        </w:rPr>
        <w:t>E. 1</w:t>
      </w:r>
    </w:p>
    <w:p>
      <w:r>
        <w:t>Ist ein Rechtsmittel offensichtlich unzulässig oder offensichtlich begründet oder unbegründet entscheidet die oder der zuständige Vorsitzende in einzelrichterlicher Kompetenz (Art. 43 Abs. 3 lit. b VRG [BR 370.100] i.V.m. Art. 38 Abs. 3 GOG [BR 173.000]). Bei der vorliegenden Beschwerde vom 30. Juli 2025 (Datum Poststempel 31. Juli 2025) handelt es sich – wie in den nachstehenden Erwägungen ausgeführt wird – um ein infolge Fehlens einer erforderlichen Prozessvoraussetzung offensichtlich unzulässiges Rechtsmittel, weswegen das angerufene Obergericht in einzelrichterlicher Kompetenz entscheidet.</w:t>
      </w:r>
    </w:p>
    <w:p>
      <w:r>
        <w:rPr>
          <w:b/>
        </w:rPr>
        <w:t>E. 2</w:t>
      </w:r>
    </w:p>
    <w:p>
      <w:r>
        <w:t>Gemäss Art. 74 Abs. 1 VRG kann die Behörde von der gesuchstellenden, der beschwerdeführenden oder der klagenden Partei einen Kostenvorschuss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 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w:t>
      </w:r>
    </w:p>
    <w:p>
      <w:r>
        <w:rPr>
          <w:b/>
        </w:rPr>
        <w:t>E. 3</w:t>
      </w:r>
    </w:p>
    <w:p>
      <w:r>
        <w:t>Im konkreten Fall forderte der Vorsitzende den Beschwerdeführer mit prozessleitender Verfügung vom 5. August 2025 unter Androhung der Säumnisfolgen (Nichteintreten) zur Leistung eines Kostenvorschusses in der Höhe von CHF 1'500.00 bis zum 28. August 2025 auf. Da der besagte Kostenvorschuss bis zum heutigen Datum nicht geleistet worden ist, ist auf die vorliegende Beschwerde gestützt auf Art. 74 Abs. 3 VRG mangels Leistung des Kostenvorschusses trotz Androhung der Säumnisfolgen nicht einzutreten.</w:t>
      </w:r>
    </w:p>
    <w:p>
      <w:r>
        <w:rPr>
          <w:b/>
        </w:rPr>
        <w:t>E. 4</w:t>
      </w:r>
    </w:p>
    <w:p>
      <w:r>
        <w:t>/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